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709"/>
        </w:tabs>
        <w:spacing w:after="0" w:line="240" w:lineRule="auto"/>
        <w:jc w:val="center"/>
        <w:rPr>
          <w:rFonts w:ascii="Batang" w:cs="Batang" w:eastAsia="Batang" w:hAnsi="Batang"/>
          <w:b w:val="1"/>
          <w:color w:val="0000ff"/>
          <w:sz w:val="44"/>
          <w:szCs w:val="44"/>
        </w:rPr>
      </w:pPr>
      <w:r w:rsidDel="00000000" w:rsidR="00000000" w:rsidRPr="00000000">
        <w:rPr>
          <w:rFonts w:ascii="Batang" w:cs="Batang" w:eastAsia="Batang" w:hAnsi="Batang"/>
          <w:b w:val="1"/>
          <w:color w:val="0000ff"/>
          <w:sz w:val="44"/>
          <w:szCs w:val="44"/>
          <w:rtl w:val="0"/>
        </w:rPr>
        <w:t xml:space="preserve">   MAIRIE D'UCCIANI</w:t>
      </w:r>
    </w:p>
    <w:p w:rsidR="00000000" w:rsidDel="00000000" w:rsidP="00000000" w:rsidRDefault="00000000" w:rsidRPr="00000000" w14:paraId="00000002">
      <w:pPr>
        <w:tabs>
          <w:tab w:val="left" w:pos="709"/>
        </w:tabs>
        <w:spacing w:after="0" w:line="240" w:lineRule="auto"/>
        <w:ind w:right="-569"/>
        <w:jc w:val="center"/>
        <w:rPr>
          <w:b w:val="1"/>
          <w:color w:val="0000ff"/>
        </w:rPr>
      </w:pPr>
      <w:r w:rsidDel="00000000" w:rsidR="00000000" w:rsidRPr="00000000">
        <w:rPr>
          <w:b w:val="1"/>
          <w:color w:val="0000ff"/>
          <w:rtl w:val="0"/>
        </w:rPr>
        <w:t xml:space="preserve">RÉPUBLIQUE FRANÇAISE</w:t>
      </w:r>
    </w:p>
    <w:p w:rsidR="00000000" w:rsidDel="00000000" w:rsidP="00000000" w:rsidRDefault="00000000" w:rsidRPr="00000000" w14:paraId="00000003">
      <w:pPr>
        <w:tabs>
          <w:tab w:val="left" w:pos="709"/>
        </w:tabs>
        <w:spacing w:after="0" w:line="240" w:lineRule="auto"/>
        <w:ind w:right="-569"/>
        <w:jc w:val="center"/>
        <w:rPr>
          <w:b w:val="1"/>
          <w:color w:val="0000ff"/>
        </w:rPr>
      </w:pPr>
      <w:r w:rsidDel="00000000" w:rsidR="00000000" w:rsidRPr="00000000">
        <w:rPr>
          <w:b w:val="1"/>
          <w:color w:val="0000ff"/>
          <w:rtl w:val="0"/>
        </w:rPr>
        <w:t xml:space="preserve">20133 UCCIANI-CORSE DU SUD</w:t>
      </w:r>
    </w:p>
    <w:p w:rsidR="00000000" w:rsidDel="00000000" w:rsidP="00000000" w:rsidRDefault="00000000" w:rsidRPr="00000000" w14:paraId="00000004">
      <w:pPr>
        <w:tabs>
          <w:tab w:val="left" w:pos="709"/>
        </w:tabs>
        <w:spacing w:after="0" w:line="240" w:lineRule="auto"/>
        <w:ind w:right="-569"/>
        <w:jc w:val="center"/>
        <w:rPr>
          <w:b w:val="1"/>
          <w:color w:val="0000ff"/>
        </w:rPr>
      </w:pPr>
      <w:r w:rsidDel="00000000" w:rsidR="00000000" w:rsidRPr="00000000">
        <w:rPr>
          <w:b w:val="1"/>
          <w:color w:val="0000ff"/>
          <w:rtl w:val="0"/>
        </w:rPr>
        <w:t xml:space="preserve">COMMUNAUTÉ DE COMMUNES CELAVU-PRUNELLI</w:t>
      </w:r>
    </w:p>
    <w:p w:rsidR="00000000" w:rsidDel="00000000" w:rsidP="00000000" w:rsidRDefault="00000000" w:rsidRPr="00000000" w14:paraId="00000005">
      <w:pPr>
        <w:spacing w:after="0" w:line="240" w:lineRule="auto"/>
        <w:rPr>
          <w:color w:val="0000ff"/>
          <w:sz w:val="16"/>
          <w:szCs w:val="16"/>
        </w:rPr>
      </w:pPr>
      <w:r w:rsidDel="00000000" w:rsidR="00000000" w:rsidRPr="00000000">
        <w:rPr>
          <w:color w:val="0000ff"/>
          <w:sz w:val="16"/>
          <w:szCs w:val="16"/>
          <w:rtl w:val="0"/>
        </w:rPr>
        <w:t xml:space="preserve">                                                                                                          04 95.52.80.02</w:t>
      </w:r>
    </w:p>
    <w:p w:rsidR="00000000" w:rsidDel="00000000" w:rsidP="00000000" w:rsidRDefault="00000000" w:rsidRPr="00000000" w14:paraId="00000006">
      <w:pPr>
        <w:tabs>
          <w:tab w:val="left" w:pos="4820"/>
        </w:tabs>
        <w:spacing w:after="0" w:line="240" w:lineRule="auto"/>
        <w:ind w:left="567" w:right="426" w:firstLine="0"/>
        <w:rPr>
          <w:color w:val="0000ff"/>
          <w:sz w:val="16"/>
          <w:szCs w:val="16"/>
        </w:rPr>
      </w:pPr>
      <w:r w:rsidDel="00000000" w:rsidR="00000000" w:rsidRPr="00000000">
        <w:rPr>
          <w:color w:val="0000ff"/>
          <w:sz w:val="16"/>
          <w:szCs w:val="16"/>
          <w:rtl w:val="0"/>
        </w:rPr>
        <w:t xml:space="preserve">                                                                                          </w:t>
      </w:r>
      <w:r w:rsidDel="00000000" w:rsidR="00000000" w:rsidRPr="00000000">
        <w:rPr>
          <w:color w:val="0000ff"/>
          <w:sz w:val="16"/>
          <w:szCs w:val="16"/>
          <w:rtl w:val="0"/>
        </w:rPr>
        <w:t xml:space="preserve">  04.95.52.88.46</w:t>
      </w:r>
    </w:p>
    <w:p w:rsidR="00000000" w:rsidDel="00000000" w:rsidP="00000000" w:rsidRDefault="00000000" w:rsidRPr="00000000" w14:paraId="00000007">
      <w:pPr>
        <w:tabs>
          <w:tab w:val="left" w:pos="4820"/>
        </w:tabs>
        <w:spacing w:after="0" w:line="240" w:lineRule="auto"/>
        <w:ind w:left="567" w:right="426" w:firstLine="0"/>
        <w:rPr>
          <w:color w:val="0000ff"/>
          <w:sz w:val="16"/>
          <w:szCs w:val="16"/>
        </w:rPr>
      </w:pPr>
      <w:r w:rsidDel="00000000" w:rsidR="00000000" w:rsidRPr="00000000">
        <w:rPr>
          <w:color w:val="0000ff"/>
          <w:sz w:val="16"/>
          <w:szCs w:val="16"/>
          <w:rtl w:val="0"/>
        </w:rPr>
        <w:t xml:space="preserve">                                                                           Courriel : mairie.ucciani@wanadoo.fr</w:t>
      </w:r>
    </w:p>
    <w:p w:rsidR="00000000" w:rsidDel="00000000" w:rsidP="00000000" w:rsidRDefault="00000000" w:rsidRPr="00000000" w14:paraId="00000008">
      <w:pPr>
        <w:rPr>
          <w:b w:val="1"/>
          <w:u w:val="single"/>
        </w:rPr>
      </w:pPr>
      <w:bookmarkStart w:colFirst="0" w:colLast="0" w:name="_heading=h.gjdgxs" w:id="0"/>
      <w:bookmarkEnd w:id="0"/>
      <w:r w:rsidDel="00000000" w:rsidR="00000000" w:rsidRPr="00000000">
        <w:rPr>
          <w:rtl w:val="0"/>
        </w:rPr>
      </w:r>
    </w:p>
    <w:p w:rsidR="00000000" w:rsidDel="00000000" w:rsidP="00000000" w:rsidRDefault="00000000" w:rsidRPr="00000000" w14:paraId="00000009">
      <w:pPr>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Dotation quinquennale (CDC) et DETR (Etat)</w:t>
      </w:r>
    </w:p>
    <w:p w:rsidR="00000000" w:rsidDel="00000000" w:rsidP="00000000" w:rsidRDefault="00000000" w:rsidRPr="00000000" w14:paraId="0000000A">
      <w:pPr>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Dossier de demande de subvention</w:t>
      </w:r>
    </w:p>
    <w:p w:rsidR="00000000" w:rsidDel="00000000" w:rsidP="00000000" w:rsidRDefault="00000000" w:rsidRPr="00000000" w14:paraId="0000000B">
      <w:pPr>
        <w:jc w:val="center"/>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0C">
      <w:pPr>
        <w:rPr>
          <w:rFonts w:ascii="Arial" w:cs="Arial" w:eastAsia="Arial" w:hAnsi="Arial"/>
          <w:b w:val="1"/>
          <w:sz w:val="20"/>
          <w:szCs w:val="20"/>
        </w:rPr>
      </w:pPr>
      <w:r w:rsidDel="00000000" w:rsidR="00000000" w:rsidRPr="00000000">
        <w:rPr>
          <w:rFonts w:ascii="Arial" w:cs="Arial" w:eastAsia="Arial" w:hAnsi="Arial"/>
          <w:b w:val="1"/>
          <w:sz w:val="20"/>
          <w:szCs w:val="20"/>
          <w:u w:val="single"/>
          <w:rtl w:val="0"/>
        </w:rPr>
        <w:t xml:space="preserve">Maître d’ouvrage</w:t>
      </w:r>
      <w:r w:rsidDel="00000000" w:rsidR="00000000" w:rsidRPr="00000000">
        <w:rPr>
          <w:rFonts w:ascii="Arial" w:cs="Arial" w:eastAsia="Arial" w:hAnsi="Arial"/>
          <w:b w:val="1"/>
          <w:sz w:val="20"/>
          <w:szCs w:val="20"/>
          <w:rtl w:val="0"/>
        </w:rPr>
        <w:t xml:space="preserve"> : </w:t>
      </w:r>
      <w:r w:rsidDel="00000000" w:rsidR="00000000" w:rsidRPr="00000000">
        <w:rPr>
          <w:rFonts w:ascii="Arial" w:cs="Arial" w:eastAsia="Arial" w:hAnsi="Arial"/>
          <w:sz w:val="20"/>
          <w:szCs w:val="20"/>
          <w:rtl w:val="0"/>
        </w:rPr>
        <w:t xml:space="preserve">Commune d’UCCIANI</w:t>
      </w:r>
      <w:r w:rsidDel="00000000" w:rsidR="00000000" w:rsidRPr="00000000">
        <w:rPr>
          <w:rtl w:val="0"/>
        </w:rPr>
      </w:r>
    </w:p>
    <w:p w:rsidR="00000000" w:rsidDel="00000000" w:rsidP="00000000" w:rsidRDefault="00000000" w:rsidRPr="00000000" w14:paraId="0000000D">
      <w:pPr>
        <w:rPr>
          <w:rFonts w:ascii="Arial" w:cs="Arial" w:eastAsia="Arial" w:hAnsi="Arial"/>
          <w:b w:val="1"/>
          <w:sz w:val="20"/>
          <w:szCs w:val="20"/>
        </w:rPr>
      </w:pPr>
      <w:r w:rsidDel="00000000" w:rsidR="00000000" w:rsidRPr="00000000">
        <w:rPr>
          <w:rFonts w:ascii="Arial" w:cs="Arial" w:eastAsia="Arial" w:hAnsi="Arial"/>
          <w:b w:val="1"/>
          <w:sz w:val="20"/>
          <w:szCs w:val="20"/>
          <w:u w:val="single"/>
          <w:rtl w:val="0"/>
        </w:rPr>
        <w:t xml:space="preserve">N° SIRET</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 21200330500019</w:t>
      </w:r>
      <w:r w:rsidDel="00000000" w:rsidR="00000000" w:rsidRPr="00000000">
        <w:rPr>
          <w:rtl w:val="0"/>
        </w:rPr>
      </w:r>
    </w:p>
    <w:p w:rsidR="00000000" w:rsidDel="00000000" w:rsidP="00000000" w:rsidRDefault="00000000" w:rsidRPr="00000000" w14:paraId="0000000E">
      <w:pPr>
        <w:rPr>
          <w:rFonts w:ascii="Arial" w:cs="Arial" w:eastAsia="Arial" w:hAnsi="Arial"/>
          <w:b w:val="1"/>
          <w:sz w:val="20"/>
          <w:szCs w:val="20"/>
        </w:rPr>
      </w:pPr>
      <w:r w:rsidDel="00000000" w:rsidR="00000000" w:rsidRPr="00000000">
        <w:rPr>
          <w:rFonts w:ascii="Arial" w:cs="Arial" w:eastAsia="Arial" w:hAnsi="Arial"/>
          <w:b w:val="1"/>
          <w:sz w:val="20"/>
          <w:szCs w:val="20"/>
          <w:u w:val="single"/>
          <w:rtl w:val="0"/>
        </w:rPr>
        <w:t xml:space="preserve">Adresse</w:t>
      </w:r>
      <w:r w:rsidDel="00000000" w:rsidR="00000000" w:rsidRPr="00000000">
        <w:rPr>
          <w:rFonts w:ascii="Arial" w:cs="Arial" w:eastAsia="Arial" w:hAnsi="Arial"/>
          <w:b w:val="1"/>
          <w:sz w:val="20"/>
          <w:szCs w:val="20"/>
          <w:rtl w:val="0"/>
        </w:rPr>
        <w:t xml:space="preserve"> : </w:t>
      </w:r>
      <w:r w:rsidDel="00000000" w:rsidR="00000000" w:rsidRPr="00000000">
        <w:rPr>
          <w:rFonts w:ascii="Arial" w:cs="Arial" w:eastAsia="Arial" w:hAnsi="Arial"/>
          <w:sz w:val="20"/>
          <w:szCs w:val="20"/>
          <w:rtl w:val="0"/>
        </w:rPr>
        <w:t xml:space="preserve">Canavajola, 20133 UCCIANI</w:t>
      </w:r>
      <w:r w:rsidDel="00000000" w:rsidR="00000000" w:rsidRPr="00000000">
        <w:rPr>
          <w:rtl w:val="0"/>
        </w:rPr>
      </w:r>
    </w:p>
    <w:p w:rsidR="00000000" w:rsidDel="00000000" w:rsidP="00000000" w:rsidRDefault="00000000" w:rsidRPr="00000000" w14:paraId="0000000F">
      <w:pPr>
        <w:rPr>
          <w:rFonts w:ascii="Arial" w:cs="Arial" w:eastAsia="Arial" w:hAnsi="Arial"/>
          <w:b w:val="1"/>
          <w:sz w:val="20"/>
          <w:szCs w:val="20"/>
        </w:rPr>
      </w:pPr>
      <w:r w:rsidDel="00000000" w:rsidR="00000000" w:rsidRPr="00000000">
        <w:rPr>
          <w:rFonts w:ascii="Arial" w:cs="Arial" w:eastAsia="Arial" w:hAnsi="Arial"/>
          <w:b w:val="1"/>
          <w:sz w:val="20"/>
          <w:szCs w:val="20"/>
          <w:u w:val="single"/>
          <w:rtl w:val="0"/>
        </w:rPr>
        <w:t xml:space="preserve">Téléphone</w:t>
      </w:r>
      <w:r w:rsidDel="00000000" w:rsidR="00000000" w:rsidRPr="00000000">
        <w:rPr>
          <w:rFonts w:ascii="Arial" w:cs="Arial" w:eastAsia="Arial" w:hAnsi="Arial"/>
          <w:b w:val="1"/>
          <w:sz w:val="20"/>
          <w:szCs w:val="20"/>
          <w:rtl w:val="0"/>
        </w:rPr>
        <w:t xml:space="preserve"> : </w:t>
      </w:r>
      <w:r w:rsidDel="00000000" w:rsidR="00000000" w:rsidRPr="00000000">
        <w:rPr>
          <w:rFonts w:ascii="Arial" w:cs="Arial" w:eastAsia="Arial" w:hAnsi="Arial"/>
          <w:sz w:val="20"/>
          <w:szCs w:val="20"/>
          <w:rtl w:val="0"/>
        </w:rPr>
        <w:t xml:space="preserve">04 95 52 80 02</w:t>
      </w:r>
      <w:r w:rsidDel="00000000" w:rsidR="00000000" w:rsidRPr="00000000">
        <w:rPr>
          <w:rtl w:val="0"/>
        </w:rPr>
      </w:r>
    </w:p>
    <w:p w:rsidR="00000000" w:rsidDel="00000000" w:rsidP="00000000" w:rsidRDefault="00000000" w:rsidRPr="00000000" w14:paraId="00000010">
      <w:pPr>
        <w:rPr>
          <w:rFonts w:ascii="Arial" w:cs="Arial" w:eastAsia="Arial" w:hAnsi="Arial"/>
          <w:sz w:val="20"/>
          <w:szCs w:val="20"/>
        </w:rPr>
      </w:pPr>
      <w:r w:rsidDel="00000000" w:rsidR="00000000" w:rsidRPr="00000000">
        <w:rPr>
          <w:rFonts w:ascii="Arial" w:cs="Arial" w:eastAsia="Arial" w:hAnsi="Arial"/>
          <w:b w:val="1"/>
          <w:sz w:val="20"/>
          <w:szCs w:val="20"/>
          <w:u w:val="single"/>
          <w:rtl w:val="0"/>
        </w:rPr>
        <w:t xml:space="preserve">Adresse électronique</w:t>
      </w:r>
      <w:r w:rsidDel="00000000" w:rsidR="00000000" w:rsidRPr="00000000">
        <w:rPr>
          <w:rFonts w:ascii="Arial" w:cs="Arial" w:eastAsia="Arial" w:hAnsi="Arial"/>
          <w:b w:val="1"/>
          <w:sz w:val="20"/>
          <w:szCs w:val="20"/>
          <w:rtl w:val="0"/>
        </w:rPr>
        <w:t xml:space="preserve"> : </w:t>
      </w:r>
      <w:hyperlink r:id="rId7">
        <w:r w:rsidDel="00000000" w:rsidR="00000000" w:rsidRPr="00000000">
          <w:rPr>
            <w:rFonts w:ascii="Arial" w:cs="Arial" w:eastAsia="Arial" w:hAnsi="Arial"/>
            <w:color w:val="0000ff"/>
            <w:sz w:val="20"/>
            <w:szCs w:val="20"/>
            <w:u w:val="single"/>
            <w:rtl w:val="0"/>
          </w:rPr>
          <w:t xml:space="preserve">mairie.ucciani@wanadoo.fr</w:t>
        </w:r>
      </w:hyperlink>
      <w:r w:rsidDel="00000000" w:rsidR="00000000" w:rsidRPr="00000000">
        <w:rPr>
          <w:rtl w:val="0"/>
        </w:rPr>
      </w:r>
    </w:p>
    <w:p w:rsidR="00000000" w:rsidDel="00000000" w:rsidP="00000000" w:rsidRDefault="00000000" w:rsidRPr="00000000" w14:paraId="00000011">
      <w:pPr>
        <w:rPr>
          <w:rFonts w:ascii="Arial" w:cs="Arial" w:eastAsia="Arial" w:hAnsi="Arial"/>
          <w:sz w:val="20"/>
          <w:szCs w:val="20"/>
        </w:rPr>
      </w:pPr>
      <w:r w:rsidDel="00000000" w:rsidR="00000000" w:rsidRPr="00000000">
        <w:rPr>
          <w:rFonts w:ascii="Arial" w:cs="Arial" w:eastAsia="Arial" w:hAnsi="Arial"/>
          <w:b w:val="1"/>
          <w:sz w:val="20"/>
          <w:szCs w:val="20"/>
          <w:u w:val="single"/>
          <w:rtl w:val="0"/>
        </w:rPr>
        <w:t xml:space="preserve">Dossier suivi par</w:t>
      </w:r>
      <w:r w:rsidDel="00000000" w:rsidR="00000000" w:rsidRPr="00000000">
        <w:rPr>
          <w:rFonts w:ascii="Arial" w:cs="Arial" w:eastAsia="Arial" w:hAnsi="Arial"/>
          <w:sz w:val="20"/>
          <w:szCs w:val="20"/>
          <w:rtl w:val="0"/>
        </w:rPr>
        <w:t xml:space="preserve"> : Monsieur Jean-Luc GIOCANTI (Maire de la commune)</w:t>
      </w:r>
    </w:p>
    <w:p w:rsidR="00000000" w:rsidDel="00000000" w:rsidP="00000000" w:rsidRDefault="00000000" w:rsidRPr="00000000" w14:paraId="00000012">
      <w:pPr>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13">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4">
      <w:pPr>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NOTE EXPLICATIVE</w:t>
      </w:r>
    </w:p>
    <w:p w:rsidR="00000000" w:rsidDel="00000000" w:rsidP="00000000" w:rsidRDefault="00000000" w:rsidRPr="00000000" w14:paraId="00000015">
      <w:pPr>
        <w:jc w:val="center"/>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16">
      <w:pPr>
        <w:rPr>
          <w:rFonts w:ascii="Arial" w:cs="Arial" w:eastAsia="Arial" w:hAnsi="Arial"/>
          <w:sz w:val="20"/>
          <w:szCs w:val="20"/>
        </w:rPr>
      </w:pPr>
      <w:r w:rsidDel="00000000" w:rsidR="00000000" w:rsidRPr="00000000">
        <w:rPr>
          <w:rFonts w:ascii="Arial" w:cs="Arial" w:eastAsia="Arial" w:hAnsi="Arial"/>
          <w:b w:val="1"/>
          <w:sz w:val="20"/>
          <w:szCs w:val="20"/>
          <w:u w:val="single"/>
          <w:rtl w:val="0"/>
        </w:rPr>
        <w:t xml:space="preserve">Intitulé de l’opération</w:t>
      </w:r>
      <w:r w:rsidDel="00000000" w:rsidR="00000000" w:rsidRPr="00000000">
        <w:rPr>
          <w:rFonts w:ascii="Arial" w:cs="Arial" w:eastAsia="Arial" w:hAnsi="Arial"/>
          <w:b w:val="1"/>
          <w:sz w:val="20"/>
          <w:szCs w:val="20"/>
          <w:rtl w:val="0"/>
        </w:rPr>
        <w:t xml:space="preserve"> : </w:t>
      </w:r>
      <w:r w:rsidDel="00000000" w:rsidR="00000000" w:rsidRPr="00000000">
        <w:rPr>
          <w:rFonts w:ascii="Arial" w:cs="Arial" w:eastAsia="Arial" w:hAnsi="Arial"/>
          <w:sz w:val="20"/>
          <w:szCs w:val="20"/>
          <w:rtl w:val="0"/>
        </w:rPr>
        <w:t xml:space="preserve">Réfection du toit de la Maison commune</w:t>
      </w:r>
    </w:p>
    <w:p w:rsidR="00000000" w:rsidDel="00000000" w:rsidP="00000000" w:rsidRDefault="00000000" w:rsidRPr="00000000" w14:paraId="00000017">
      <w:pPr>
        <w:jc w:val="both"/>
        <w:rPr>
          <w:rFonts w:ascii="Arial" w:cs="Arial" w:eastAsia="Arial" w:hAnsi="Arial"/>
          <w:sz w:val="20"/>
          <w:szCs w:val="20"/>
        </w:rPr>
      </w:pPr>
      <w:r w:rsidDel="00000000" w:rsidR="00000000" w:rsidRPr="00000000">
        <w:rPr>
          <w:rFonts w:ascii="Arial" w:cs="Arial" w:eastAsia="Arial" w:hAnsi="Arial"/>
          <w:b w:val="1"/>
          <w:sz w:val="20"/>
          <w:szCs w:val="20"/>
          <w:u w:val="single"/>
          <w:rtl w:val="0"/>
        </w:rPr>
        <w:t xml:space="preserve">Catégorie Dotation quinquennale dont relève l’opération (DQ/CDC)</w:t>
      </w:r>
      <w:r w:rsidDel="00000000" w:rsidR="00000000" w:rsidRPr="00000000">
        <w:rPr>
          <w:rFonts w:ascii="Arial" w:cs="Arial" w:eastAsia="Arial" w:hAnsi="Arial"/>
          <w:b w:val="1"/>
          <w:sz w:val="20"/>
          <w:szCs w:val="20"/>
          <w:rtl w:val="0"/>
        </w:rPr>
        <w:t xml:space="preserve"> : </w:t>
      </w:r>
      <w:r w:rsidDel="00000000" w:rsidR="00000000" w:rsidRPr="00000000">
        <w:rPr>
          <w:rFonts w:ascii="Arial" w:cs="Arial" w:eastAsia="Arial" w:hAnsi="Arial"/>
          <w:sz w:val="20"/>
          <w:szCs w:val="20"/>
          <w:rtl w:val="0"/>
        </w:rPr>
        <w:t xml:space="preserve">Aide aux bâtiments administratifs et techniques (Travaux de construction, de rénovation, d’extension, de restructuration et de mise aux normes de bâtiments publics) -&gt; CF arrêté du 05/11/2020 reçu le 19/11/2020</w:t>
      </w:r>
    </w:p>
    <w:p w:rsidR="00000000" w:rsidDel="00000000" w:rsidP="00000000" w:rsidRDefault="00000000" w:rsidRPr="00000000" w14:paraId="00000018">
      <w:pPr>
        <w:jc w:val="both"/>
        <w:rPr>
          <w:rFonts w:ascii="Arial" w:cs="Arial" w:eastAsia="Arial" w:hAnsi="Arial"/>
          <w:sz w:val="20"/>
          <w:szCs w:val="20"/>
        </w:rPr>
      </w:pPr>
      <w:r w:rsidDel="00000000" w:rsidR="00000000" w:rsidRPr="00000000">
        <w:rPr>
          <w:rFonts w:ascii="Arial" w:cs="Arial" w:eastAsia="Arial" w:hAnsi="Arial"/>
          <w:b w:val="1"/>
          <w:sz w:val="20"/>
          <w:szCs w:val="20"/>
          <w:u w:val="single"/>
          <w:rtl w:val="0"/>
        </w:rPr>
        <w:t xml:space="preserve">Catégorie Dotation d’équipement des territoires ruraux (DETR/Etat) dont relève l’opération</w:t>
      </w:r>
      <w:r w:rsidDel="00000000" w:rsidR="00000000" w:rsidRPr="00000000">
        <w:rPr>
          <w:rFonts w:ascii="Arial" w:cs="Arial" w:eastAsia="Arial" w:hAnsi="Arial"/>
          <w:b w:val="1"/>
          <w:sz w:val="20"/>
          <w:szCs w:val="20"/>
          <w:rtl w:val="0"/>
        </w:rPr>
        <w:t xml:space="preserve"> : </w:t>
      </w:r>
      <w:r w:rsidDel="00000000" w:rsidR="00000000" w:rsidRPr="00000000">
        <w:rPr>
          <w:rFonts w:ascii="Arial" w:cs="Arial" w:eastAsia="Arial" w:hAnsi="Arial"/>
          <w:sz w:val="20"/>
          <w:szCs w:val="20"/>
          <w:rtl w:val="0"/>
        </w:rPr>
        <w:t xml:space="preserve">Sauvegarde et mise en valeur du patrimoine et aménagement rural (Construction et rénovation de bâtiments et d’équipements communaux) -&gt; arrêté du 27/11/2020 reçu le 10/12/2020</w:t>
      </w:r>
    </w:p>
    <w:p w:rsidR="00000000" w:rsidDel="00000000" w:rsidP="00000000" w:rsidRDefault="00000000" w:rsidRPr="00000000" w14:paraId="00000019">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A">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B">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C">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D">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E">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F">
      <w:pPr>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CARACTERISTIQUES DE L’OPERATION</w:t>
      </w:r>
    </w:p>
    <w:p w:rsidR="00000000" w:rsidDel="00000000" w:rsidP="00000000" w:rsidRDefault="00000000" w:rsidRPr="00000000" w14:paraId="00000020">
      <w:pPr>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Contexte de l’intervention / Historique</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23">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En 2015, de nombreux travaux ont été réalisés à Ucciani dans le cadre d’une opération globale de rénovation énergétique du bâtiment communal. Parmi ces travaux, figurait la pose d’une nouvelle couverture sur la charpente en bois existante.</w:t>
      </w:r>
    </w:p>
    <w:p w:rsidR="00000000" w:rsidDel="00000000" w:rsidP="00000000" w:rsidRDefault="00000000" w:rsidRPr="00000000" w14:paraId="00000024">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Une partie du toit s’est envolée lors de la tempête « Fabien » des 21 et 22 décembre 2019. La municipalité précédente a fait établir un devis de réparation et perçu une indemnité de l’assurance s’élevant à 44 000€. (33 000€ ont déjà été versés). Pour information, la couverture initiale avait été réalisée par un sous-traitant de l’entreprise titulaire du marché pour un montant global de 55 000€ TTC.</w:t>
      </w:r>
    </w:p>
    <w:p w:rsidR="00000000" w:rsidDel="00000000" w:rsidP="00000000" w:rsidRDefault="00000000" w:rsidRPr="00000000" w14:paraId="00000025">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Lors de sa prise de fonction fin mai, la municipalité a pris connaissance d’un rapport d’expertise établi fin décembre, à la demande du maire, par un architecte. Ce dernier considérait que, suite à l’événement climatique, « la structure n’avait pas bougé ». Toutefois, le rapport indiquait de manière expresse « une vulnérabilité de la cour de l’école en cas de nouvelle tempête. »</w:t>
      </w:r>
    </w:p>
    <w:p w:rsidR="00000000" w:rsidDel="00000000" w:rsidP="00000000" w:rsidRDefault="00000000" w:rsidRPr="00000000" w14:paraId="00000026">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Les services de la Préfecture avaient demandé au Maire en janvier dernier de solliciter un organisme agréé afin qu’il puisse émettre un avis sur la solidité du bâtiment. Cet avis a été sollicité par la nouvelle équipe lors de son entrée en fonction et un rapport de l’APAVE a été adressé mi-juin (cf. Pièce jointe n°1).</w:t>
      </w:r>
    </w:p>
    <w:p w:rsidR="00000000" w:rsidDel="00000000" w:rsidP="00000000" w:rsidRDefault="00000000" w:rsidRPr="00000000" w14:paraId="00000027">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Ce rapport fait état de plusieurs constats :</w:t>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Des déplacements excessifs de plusieurs éléments ;</w:t>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Des dégradations visibles de l’élément de couverture ;</w:t>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Plusieurs défauts de fixation. </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Un choix initial peu opportun : La pose de panneaux sandwichs</w:t>
      </w: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F">
      <w:pPr>
        <w:jc w:val="both"/>
        <w:rPr>
          <w:rFonts w:ascii="Arial" w:cs="Arial" w:eastAsia="Arial" w:hAnsi="Arial"/>
          <w:b w:val="1"/>
          <w:sz w:val="20"/>
          <w:szCs w:val="20"/>
        </w:rPr>
      </w:pPr>
      <w:r w:rsidDel="00000000" w:rsidR="00000000" w:rsidRPr="00000000">
        <w:rPr>
          <w:rFonts w:ascii="Arial" w:cs="Arial" w:eastAsia="Arial" w:hAnsi="Arial"/>
          <w:sz w:val="20"/>
          <w:szCs w:val="20"/>
          <w:rtl w:val="0"/>
        </w:rPr>
        <w:t xml:space="preserve">Le choix de couvrir le bâtiment communal par des panneaux sandwichs a été retenu en 2015 par la précédente municipalité parmi plusieurs options. Pourtant,</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l’avis technique (Réf : 2/08-1334*V1) indique expressément que le domaine d’emploi visé est « celui des couvertures de bâtiments industriels et agricoles ». </w:t>
      </w:r>
      <w:r w:rsidDel="00000000" w:rsidR="00000000" w:rsidRPr="00000000">
        <w:rPr>
          <w:rtl w:val="0"/>
        </w:rPr>
      </w:r>
    </w:p>
    <w:p w:rsidR="00000000" w:rsidDel="00000000" w:rsidP="00000000" w:rsidRDefault="00000000" w:rsidRPr="00000000" w14:paraId="00000030">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Par ailleurs, au niveau sécurité incendie, ce type de couverture (au regard de la nature de l’isolant) nécessite que le plancher bas des combles satisfasse les critères d’écran décrits dans les guides techniques. La pose de panneaux sandwichs sur des ossatures en bois est possible moyennant le respect des prescriptions de l’avis technique (ce qui n’est pas le cas en l’espèce selon le rapport de l’APAVE). Pour respecter les prescriptions de l’AT, il aurait fallu remplacer toutes les pannes et vérifier la tenue au vent de l’ensemble de la structure au regard de la charpente existante. Pour ce faire, une étude poussée de faisabilité aurait dû être réalisée. En outre, l’utilisation du procédé dans les ERP dont le plancher bas du dernier niveau est situé à plus de 8 mètres est exclue du domaine d’emploi. La hauteur entre le rez-de-chaussée et la dalle des combles a été mesurée à 7m68. Il paraît opportun de souligner que cette mesure a été effectuée sans prendre en considération le sous-sol dans lequel est placée une chaudière et des caves permettant d’entreposer du matériel.</w:t>
      </w:r>
    </w:p>
    <w:p w:rsidR="00000000" w:rsidDel="00000000" w:rsidP="00000000" w:rsidRDefault="00000000" w:rsidRPr="00000000" w14:paraId="00000031">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Le rapport préconise, je cite : « les études d’exécution des travaux de réfection de la toiture devront notamment s’attacher à vérifier la tenue structurelle de la charpente en bois vis-à-vis des efforts induits par le vent sur la couverture et déterminer les besoins de renforcement nécessaires le cas échéant ».</w:t>
      </w:r>
    </w:p>
    <w:p w:rsidR="00000000" w:rsidDel="00000000" w:rsidP="00000000" w:rsidRDefault="00000000" w:rsidRPr="00000000" w14:paraId="00000032">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Les démarches entreprises par la municipalité actuelle</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both"/>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35">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Le caractère prioritaire et urgent de ce dossier a conduit le conseil municipal à faire appel à un bureau d’études spécialiste en économie de la construction afin qu’il puisse établir plusieurs scenarii :</w:t>
      </w:r>
    </w:p>
    <w:p w:rsidR="00000000" w:rsidDel="00000000" w:rsidP="00000000" w:rsidRDefault="00000000" w:rsidRPr="00000000" w14:paraId="0000003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Option n°1 : Couverture type plaques sous tuiles </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30j0zll" w:id="1"/>
      <w:bookmarkEnd w:id="1"/>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Montant HT (travaux + Maitrise d’œuvre) : 243 068,00 €</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Option n°2 : Couverture type tuiles mécaniques</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1fob9te" w:id="2"/>
      <w:bookmarkEnd w:id="2"/>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Montant HT (travaux + Maitrise d’œuvre) : 217 823,20 €</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Option n° 3 : Maintien couverture type panneaux sandwichs</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Montant HT (travaux + Maitrise d’œuvre) : 199 186,50 €</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F">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L’option n° 3 a été écartée eu égard aux arguments développés plus haut et aux réticences exposées par le bureau d’études. </w:t>
      </w:r>
    </w:p>
    <w:p w:rsidR="00000000" w:rsidDel="00000000" w:rsidP="00000000" w:rsidRDefault="00000000" w:rsidRPr="00000000" w14:paraId="00000040">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Le conseil municipal d’Ucciani a retenu l’option n°2.</w:t>
      </w:r>
    </w:p>
    <w:p w:rsidR="00000000" w:rsidDel="00000000" w:rsidP="00000000" w:rsidRDefault="00000000" w:rsidRPr="00000000" w14:paraId="00000041">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Dans l’attente de la réalisation de ces travaux, le conseil municipal a décidé de sécuriser le bâtiment communal qui regroupe une école, la mairie, la poste et des logements. Des grillages de protection ont été posés par une société réalisant des travaux acrobatiques afin de s’assurer qu’aucun élément ne puisse s’envoler de la structure existante. </w:t>
      </w:r>
    </w:p>
    <w:p w:rsidR="00000000" w:rsidDel="00000000" w:rsidP="00000000" w:rsidRDefault="00000000" w:rsidRPr="00000000" w14:paraId="00000042">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3">
      <w:pPr>
        <w:jc w:val="both"/>
        <w:rPr>
          <w:rFonts w:ascii="Arial" w:cs="Arial" w:eastAsia="Arial" w:hAnsi="Arial"/>
          <w:sz w:val="20"/>
          <w:szCs w:val="20"/>
        </w:rPr>
      </w:pPr>
      <w:r w:rsidDel="00000000" w:rsidR="00000000" w:rsidRPr="00000000">
        <w:rPr>
          <w:rFonts w:ascii="Arial" w:cs="Arial" w:eastAsia="Arial" w:hAnsi="Arial"/>
          <w:sz w:val="20"/>
          <w:szCs w:val="20"/>
          <w:rtl w:val="0"/>
        </w:rPr>
        <w:tab/>
        <w:tab/>
        <w:tab/>
        <w:tab/>
        <w:tab/>
        <w:tab/>
        <w:tab/>
        <w:tab/>
      </w:r>
    </w:p>
    <w:p w:rsidR="00000000" w:rsidDel="00000000" w:rsidP="00000000" w:rsidRDefault="00000000" w:rsidRPr="00000000" w14:paraId="00000044">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5">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6">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7">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8">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9">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A">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B">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C">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D">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E">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F">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0">
      <w:pPr>
        <w:jc w:val="center"/>
        <w:rPr>
          <w:rFonts w:ascii="Arial" w:cs="Arial" w:eastAsia="Arial" w:hAnsi="Arial"/>
          <w:b w:val="1"/>
          <w:sz w:val="28"/>
          <w:szCs w:val="28"/>
          <w:u w:val="single"/>
        </w:rPr>
      </w:pPr>
      <w:r w:rsidDel="00000000" w:rsidR="00000000" w:rsidRPr="00000000">
        <w:rPr>
          <w:rFonts w:ascii="Arial" w:cs="Arial" w:eastAsia="Arial" w:hAnsi="Arial"/>
          <w:b w:val="1"/>
          <w:sz w:val="28"/>
          <w:szCs w:val="28"/>
          <w:u w:val="single"/>
          <w:rtl w:val="0"/>
        </w:rPr>
        <w:t xml:space="preserve">PLAN DE FINANCEMENT PRÉVISIONNEL</w:t>
      </w:r>
    </w:p>
    <w:p w:rsidR="00000000" w:rsidDel="00000000" w:rsidP="00000000" w:rsidRDefault="00000000" w:rsidRPr="00000000" w14:paraId="00000051">
      <w:pPr>
        <w:jc w:val="center"/>
        <w:rPr>
          <w:rFonts w:ascii="Arial" w:cs="Arial" w:eastAsia="Arial" w:hAnsi="Arial"/>
          <w:b w:val="1"/>
          <w:sz w:val="20"/>
          <w:szCs w:val="20"/>
        </w:rPr>
      </w:pPr>
      <w:r w:rsidDel="00000000" w:rsidR="00000000" w:rsidRPr="00000000">
        <w:rPr>
          <w:rtl w:val="0"/>
        </w:rPr>
      </w:r>
    </w:p>
    <w:tbl>
      <w:tblPr>
        <w:tblStyle w:val="Table1"/>
        <w:tblW w:w="8670.0" w:type="dxa"/>
        <w:jc w:val="left"/>
        <w:tblInd w:w="3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018"/>
        <w:gridCol w:w="4652"/>
        <w:tblGridChange w:id="0">
          <w:tblGrid>
            <w:gridCol w:w="4018"/>
            <w:gridCol w:w="4652"/>
          </w:tblGrid>
        </w:tblGridChange>
      </w:tblGrid>
      <w:tr>
        <w:trPr>
          <w:trHeight w:val="293" w:hRule="atLeast"/>
        </w:trPr>
        <w:tc>
          <w:tcPr>
            <w:shd w:fill="auto" w:val="clear"/>
          </w:tcPr>
          <w:p w:rsidR="00000000" w:rsidDel="00000000" w:rsidP="00000000" w:rsidRDefault="00000000" w:rsidRPr="00000000" w14:paraId="00000052">
            <w:pPr>
              <w:jc w:val="center"/>
              <w:rPr>
                <w:b w:val="1"/>
                <w:sz w:val="24"/>
                <w:szCs w:val="24"/>
              </w:rPr>
            </w:pPr>
            <w:bookmarkStart w:colFirst="0" w:colLast="0" w:name="_heading=h.3znysh7" w:id="3"/>
            <w:bookmarkEnd w:id="3"/>
            <w:r w:rsidDel="00000000" w:rsidR="00000000" w:rsidRPr="00000000">
              <w:rPr>
                <w:b w:val="1"/>
                <w:sz w:val="24"/>
                <w:szCs w:val="24"/>
                <w:rtl w:val="0"/>
              </w:rPr>
              <w:t xml:space="preserve">Nature des dépenses</w:t>
            </w:r>
          </w:p>
        </w:tc>
        <w:tc>
          <w:tcPr>
            <w:shd w:fill="auto" w:val="clear"/>
          </w:tcPr>
          <w:p w:rsidR="00000000" w:rsidDel="00000000" w:rsidP="00000000" w:rsidRDefault="00000000" w:rsidRPr="00000000" w14:paraId="00000053">
            <w:pPr>
              <w:jc w:val="center"/>
              <w:rPr>
                <w:b w:val="1"/>
                <w:sz w:val="24"/>
                <w:szCs w:val="24"/>
              </w:rPr>
            </w:pPr>
            <w:r w:rsidDel="00000000" w:rsidR="00000000" w:rsidRPr="00000000">
              <w:rPr>
                <w:b w:val="1"/>
                <w:sz w:val="24"/>
                <w:szCs w:val="24"/>
                <w:rtl w:val="0"/>
              </w:rPr>
              <w:t xml:space="preserve">Montant</w:t>
            </w:r>
          </w:p>
        </w:tc>
      </w:tr>
      <w:tr>
        <w:trPr>
          <w:trHeight w:val="276" w:hRule="atLeast"/>
        </w:trPr>
        <w:tc>
          <w:tcPr>
            <w:shd w:fill="auto" w:val="clear"/>
          </w:tcPr>
          <w:p w:rsidR="00000000" w:rsidDel="00000000" w:rsidP="00000000" w:rsidRDefault="00000000" w:rsidRPr="00000000" w14:paraId="00000054">
            <w:pPr>
              <w:jc w:val="center"/>
              <w:rPr>
                <w:sz w:val="24"/>
                <w:szCs w:val="24"/>
              </w:rPr>
            </w:pPr>
            <w:r w:rsidDel="00000000" w:rsidR="00000000" w:rsidRPr="00000000">
              <w:rPr>
                <w:sz w:val="24"/>
                <w:szCs w:val="24"/>
                <w:rtl w:val="0"/>
              </w:rPr>
              <w:t xml:space="preserve">Travaux</w:t>
            </w:r>
          </w:p>
        </w:tc>
        <w:tc>
          <w:tcPr>
            <w:shd w:fill="auto" w:val="clear"/>
          </w:tcPr>
          <w:p w:rsidR="00000000" w:rsidDel="00000000" w:rsidP="00000000" w:rsidRDefault="00000000" w:rsidRPr="00000000" w14:paraId="00000055">
            <w:pPr>
              <w:jc w:val="center"/>
              <w:rPr>
                <w:sz w:val="24"/>
                <w:szCs w:val="24"/>
              </w:rPr>
            </w:pPr>
            <w:r w:rsidDel="00000000" w:rsidR="00000000" w:rsidRPr="00000000">
              <w:rPr>
                <w:sz w:val="24"/>
                <w:szCs w:val="24"/>
                <w:rtl w:val="0"/>
              </w:rPr>
              <w:t xml:space="preserve">194 485,00€</w:t>
            </w:r>
          </w:p>
        </w:tc>
      </w:tr>
      <w:tr>
        <w:trPr>
          <w:trHeight w:val="293" w:hRule="atLeast"/>
        </w:trPr>
        <w:tc>
          <w:tcPr>
            <w:shd w:fill="auto" w:val="clear"/>
          </w:tcPr>
          <w:p w:rsidR="00000000" w:rsidDel="00000000" w:rsidP="00000000" w:rsidRDefault="00000000" w:rsidRPr="00000000" w14:paraId="00000056">
            <w:pPr>
              <w:jc w:val="center"/>
              <w:rPr>
                <w:sz w:val="24"/>
                <w:szCs w:val="24"/>
              </w:rPr>
            </w:pPr>
            <w:r w:rsidDel="00000000" w:rsidR="00000000" w:rsidRPr="00000000">
              <w:rPr>
                <w:sz w:val="24"/>
                <w:szCs w:val="24"/>
                <w:rtl w:val="0"/>
              </w:rPr>
              <w:t xml:space="preserve">Maîtrise d’œuvre</w:t>
            </w:r>
          </w:p>
        </w:tc>
        <w:tc>
          <w:tcPr>
            <w:shd w:fill="auto" w:val="clear"/>
          </w:tcPr>
          <w:p w:rsidR="00000000" w:rsidDel="00000000" w:rsidP="00000000" w:rsidRDefault="00000000" w:rsidRPr="00000000" w14:paraId="00000057">
            <w:pPr>
              <w:jc w:val="center"/>
              <w:rPr>
                <w:sz w:val="24"/>
                <w:szCs w:val="24"/>
              </w:rPr>
            </w:pPr>
            <w:r w:rsidDel="00000000" w:rsidR="00000000" w:rsidRPr="00000000">
              <w:rPr>
                <w:sz w:val="24"/>
                <w:szCs w:val="24"/>
                <w:rtl w:val="0"/>
              </w:rPr>
              <w:t xml:space="preserve">23 338,20€</w:t>
            </w:r>
          </w:p>
        </w:tc>
      </w:tr>
      <w:tr>
        <w:trPr>
          <w:trHeight w:val="276" w:hRule="atLeast"/>
        </w:trPr>
        <w:tc>
          <w:tcPr>
            <w:shd w:fill="auto" w:val="clear"/>
          </w:tcPr>
          <w:p w:rsidR="00000000" w:rsidDel="00000000" w:rsidP="00000000" w:rsidRDefault="00000000" w:rsidRPr="00000000" w14:paraId="00000058">
            <w:pPr>
              <w:jc w:val="center"/>
              <w:rPr>
                <w:b w:val="1"/>
                <w:sz w:val="24"/>
                <w:szCs w:val="24"/>
              </w:rPr>
            </w:pPr>
            <w:r w:rsidDel="00000000" w:rsidR="00000000" w:rsidRPr="00000000">
              <w:rPr>
                <w:b w:val="1"/>
                <w:sz w:val="24"/>
                <w:szCs w:val="24"/>
                <w:rtl w:val="0"/>
              </w:rPr>
              <w:t xml:space="preserve">Sous-Total</w:t>
            </w:r>
          </w:p>
        </w:tc>
        <w:tc>
          <w:tcPr>
            <w:shd w:fill="auto" w:val="clear"/>
          </w:tcPr>
          <w:p w:rsidR="00000000" w:rsidDel="00000000" w:rsidP="00000000" w:rsidRDefault="00000000" w:rsidRPr="00000000" w14:paraId="00000059">
            <w:pPr>
              <w:jc w:val="center"/>
              <w:rPr>
                <w:b w:val="1"/>
                <w:sz w:val="24"/>
                <w:szCs w:val="24"/>
              </w:rPr>
            </w:pPr>
            <w:r w:rsidDel="00000000" w:rsidR="00000000" w:rsidRPr="00000000">
              <w:rPr>
                <w:b w:val="1"/>
                <w:sz w:val="24"/>
                <w:szCs w:val="24"/>
                <w:rtl w:val="0"/>
              </w:rPr>
              <w:t xml:space="preserve">217 823,20HT</w:t>
            </w:r>
          </w:p>
        </w:tc>
      </w:tr>
      <w:tr>
        <w:trPr>
          <w:trHeight w:val="293" w:hRule="atLeast"/>
        </w:trPr>
        <w:tc>
          <w:tcPr>
            <w:shd w:fill="auto" w:val="clear"/>
          </w:tcPr>
          <w:p w:rsidR="00000000" w:rsidDel="00000000" w:rsidP="00000000" w:rsidRDefault="00000000" w:rsidRPr="00000000" w14:paraId="0000005A">
            <w:pPr>
              <w:jc w:val="center"/>
              <w:rPr>
                <w:sz w:val="24"/>
                <w:szCs w:val="24"/>
              </w:rPr>
            </w:pPr>
            <w:r w:rsidDel="00000000" w:rsidR="00000000" w:rsidRPr="00000000">
              <w:rPr>
                <w:sz w:val="24"/>
                <w:szCs w:val="24"/>
                <w:rtl w:val="0"/>
              </w:rPr>
              <w:t xml:space="preserve">TVA</w:t>
            </w:r>
          </w:p>
        </w:tc>
        <w:tc>
          <w:tcPr>
            <w:shd w:fill="auto" w:val="clear"/>
          </w:tcPr>
          <w:p w:rsidR="00000000" w:rsidDel="00000000" w:rsidP="00000000" w:rsidRDefault="00000000" w:rsidRPr="00000000" w14:paraId="0000005B">
            <w:pPr>
              <w:jc w:val="center"/>
              <w:rPr>
                <w:sz w:val="24"/>
                <w:szCs w:val="24"/>
              </w:rPr>
            </w:pPr>
            <w:r w:rsidDel="00000000" w:rsidR="00000000" w:rsidRPr="00000000">
              <w:rPr>
                <w:sz w:val="24"/>
                <w:szCs w:val="24"/>
                <w:rtl w:val="0"/>
              </w:rPr>
              <w:t xml:space="preserve">24 116,14€</w:t>
            </w:r>
          </w:p>
        </w:tc>
      </w:tr>
      <w:tr>
        <w:trPr>
          <w:trHeight w:val="276" w:hRule="atLeast"/>
        </w:trPr>
        <w:tc>
          <w:tcPr>
            <w:shd w:fill="auto" w:val="clear"/>
          </w:tcPr>
          <w:p w:rsidR="00000000" w:rsidDel="00000000" w:rsidP="00000000" w:rsidRDefault="00000000" w:rsidRPr="00000000" w14:paraId="0000005C">
            <w:pPr>
              <w:jc w:val="center"/>
              <w:rPr>
                <w:b w:val="1"/>
                <w:sz w:val="24"/>
                <w:szCs w:val="24"/>
              </w:rPr>
            </w:pPr>
            <w:r w:rsidDel="00000000" w:rsidR="00000000" w:rsidRPr="00000000">
              <w:rPr>
                <w:b w:val="1"/>
                <w:sz w:val="24"/>
                <w:szCs w:val="24"/>
                <w:rtl w:val="0"/>
              </w:rPr>
              <w:t xml:space="preserve">Total</w:t>
            </w:r>
          </w:p>
        </w:tc>
        <w:tc>
          <w:tcPr>
            <w:shd w:fill="auto" w:val="clear"/>
          </w:tcPr>
          <w:p w:rsidR="00000000" w:rsidDel="00000000" w:rsidP="00000000" w:rsidRDefault="00000000" w:rsidRPr="00000000" w14:paraId="0000005D">
            <w:pPr>
              <w:jc w:val="center"/>
              <w:rPr>
                <w:b w:val="1"/>
                <w:sz w:val="24"/>
                <w:szCs w:val="24"/>
              </w:rPr>
            </w:pPr>
            <w:r w:rsidDel="00000000" w:rsidR="00000000" w:rsidRPr="00000000">
              <w:rPr>
                <w:b w:val="1"/>
                <w:sz w:val="24"/>
                <w:szCs w:val="24"/>
                <w:rtl w:val="0"/>
              </w:rPr>
              <w:t xml:space="preserve">241 939,34€</w:t>
            </w:r>
          </w:p>
        </w:tc>
      </w:tr>
    </w:tbl>
    <w:p w:rsidR="00000000" w:rsidDel="00000000" w:rsidP="00000000" w:rsidRDefault="00000000" w:rsidRPr="00000000" w14:paraId="0000005E">
      <w:pPr>
        <w:rPr>
          <w:sz w:val="20"/>
          <w:szCs w:val="20"/>
        </w:rPr>
      </w:pPr>
      <w:r w:rsidDel="00000000" w:rsidR="00000000" w:rsidRPr="00000000">
        <w:rPr>
          <w:rtl w:val="0"/>
        </w:rPr>
      </w:r>
    </w:p>
    <w:p w:rsidR="00000000" w:rsidDel="00000000" w:rsidP="00000000" w:rsidRDefault="00000000" w:rsidRPr="00000000" w14:paraId="0000005F">
      <w:pPr>
        <w:rPr>
          <w:sz w:val="20"/>
          <w:szCs w:val="20"/>
        </w:rPr>
      </w:pPr>
      <w:r w:rsidDel="00000000" w:rsidR="00000000" w:rsidRPr="00000000">
        <w:rPr>
          <w:rtl w:val="0"/>
        </w:rPr>
      </w:r>
    </w:p>
    <w:tbl>
      <w:tblPr>
        <w:tblStyle w:val="Table2"/>
        <w:tblW w:w="8670.0" w:type="dxa"/>
        <w:jc w:val="left"/>
        <w:tblInd w:w="3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051"/>
        <w:gridCol w:w="4619"/>
        <w:tblGridChange w:id="0">
          <w:tblGrid>
            <w:gridCol w:w="4051"/>
            <w:gridCol w:w="4619"/>
          </w:tblGrid>
        </w:tblGridChange>
      </w:tblGrid>
      <w:tr>
        <w:trPr>
          <w:trHeight w:val="263" w:hRule="atLeast"/>
        </w:trPr>
        <w:tc>
          <w:tcPr>
            <w:shd w:fill="auto" w:val="clear"/>
          </w:tcPr>
          <w:p w:rsidR="00000000" w:rsidDel="00000000" w:rsidP="00000000" w:rsidRDefault="00000000" w:rsidRPr="00000000" w14:paraId="00000060">
            <w:pPr>
              <w:jc w:val="center"/>
              <w:rPr>
                <w:b w:val="1"/>
                <w:sz w:val="24"/>
                <w:szCs w:val="24"/>
              </w:rPr>
            </w:pPr>
            <w:r w:rsidDel="00000000" w:rsidR="00000000" w:rsidRPr="00000000">
              <w:rPr>
                <w:b w:val="1"/>
                <w:sz w:val="24"/>
                <w:szCs w:val="24"/>
                <w:rtl w:val="0"/>
              </w:rPr>
              <w:t xml:space="preserve">Financeurs</w:t>
            </w:r>
          </w:p>
        </w:tc>
        <w:tc>
          <w:tcPr>
            <w:shd w:fill="auto" w:val="clear"/>
          </w:tcPr>
          <w:p w:rsidR="00000000" w:rsidDel="00000000" w:rsidP="00000000" w:rsidRDefault="00000000" w:rsidRPr="00000000" w14:paraId="00000061">
            <w:pPr>
              <w:jc w:val="center"/>
              <w:rPr>
                <w:b w:val="1"/>
                <w:sz w:val="24"/>
                <w:szCs w:val="24"/>
              </w:rPr>
            </w:pPr>
            <w:r w:rsidDel="00000000" w:rsidR="00000000" w:rsidRPr="00000000">
              <w:rPr>
                <w:b w:val="1"/>
                <w:sz w:val="24"/>
                <w:szCs w:val="24"/>
                <w:rtl w:val="0"/>
              </w:rPr>
              <w:t xml:space="preserve">Montant</w:t>
            </w:r>
          </w:p>
        </w:tc>
      </w:tr>
      <w:tr>
        <w:trPr>
          <w:trHeight w:val="248" w:hRule="atLeast"/>
        </w:trPr>
        <w:tc>
          <w:tcPr>
            <w:shd w:fill="auto" w:val="clear"/>
          </w:tcPr>
          <w:p w:rsidR="00000000" w:rsidDel="00000000" w:rsidP="00000000" w:rsidRDefault="00000000" w:rsidRPr="00000000" w14:paraId="00000062">
            <w:pPr>
              <w:jc w:val="center"/>
              <w:rPr>
                <w:sz w:val="24"/>
                <w:szCs w:val="24"/>
              </w:rPr>
            </w:pPr>
            <w:r w:rsidDel="00000000" w:rsidR="00000000" w:rsidRPr="00000000">
              <w:rPr>
                <w:sz w:val="24"/>
                <w:szCs w:val="24"/>
                <w:rtl w:val="0"/>
              </w:rPr>
              <w:t xml:space="preserve">Etat (DETR) : 40%</w:t>
            </w:r>
          </w:p>
        </w:tc>
        <w:tc>
          <w:tcPr>
            <w:shd w:fill="auto" w:val="clear"/>
          </w:tcPr>
          <w:p w:rsidR="00000000" w:rsidDel="00000000" w:rsidP="00000000" w:rsidRDefault="00000000" w:rsidRPr="00000000" w14:paraId="00000063">
            <w:pPr>
              <w:jc w:val="center"/>
              <w:rPr>
                <w:sz w:val="24"/>
                <w:szCs w:val="24"/>
              </w:rPr>
            </w:pPr>
            <w:r w:rsidDel="00000000" w:rsidR="00000000" w:rsidRPr="00000000">
              <w:rPr>
                <w:sz w:val="24"/>
                <w:szCs w:val="24"/>
                <w:rtl w:val="0"/>
              </w:rPr>
              <w:t xml:space="preserve">77 794,00€</w:t>
            </w:r>
          </w:p>
        </w:tc>
      </w:tr>
      <w:tr>
        <w:trPr>
          <w:trHeight w:val="263" w:hRule="atLeast"/>
        </w:trPr>
        <w:tc>
          <w:tcPr>
            <w:shd w:fill="auto" w:val="clear"/>
          </w:tcPr>
          <w:p w:rsidR="00000000" w:rsidDel="00000000" w:rsidP="00000000" w:rsidRDefault="00000000" w:rsidRPr="00000000" w14:paraId="00000064">
            <w:pPr>
              <w:jc w:val="center"/>
              <w:rPr>
                <w:sz w:val="24"/>
                <w:szCs w:val="24"/>
              </w:rPr>
            </w:pPr>
            <w:r w:rsidDel="00000000" w:rsidR="00000000" w:rsidRPr="00000000">
              <w:rPr>
                <w:sz w:val="24"/>
                <w:szCs w:val="24"/>
                <w:rtl w:val="0"/>
              </w:rPr>
              <w:t xml:space="preserve">CDC : 40%</w:t>
            </w:r>
          </w:p>
        </w:tc>
        <w:tc>
          <w:tcPr>
            <w:shd w:fill="auto" w:val="clear"/>
          </w:tcPr>
          <w:p w:rsidR="00000000" w:rsidDel="00000000" w:rsidP="00000000" w:rsidRDefault="00000000" w:rsidRPr="00000000" w14:paraId="00000065">
            <w:pPr>
              <w:jc w:val="center"/>
              <w:rPr>
                <w:sz w:val="24"/>
                <w:szCs w:val="24"/>
              </w:rPr>
            </w:pPr>
            <w:r w:rsidDel="00000000" w:rsidR="00000000" w:rsidRPr="00000000">
              <w:rPr>
                <w:sz w:val="24"/>
                <w:szCs w:val="24"/>
                <w:rtl w:val="0"/>
              </w:rPr>
              <w:t xml:space="preserve">84 764,00€</w:t>
            </w:r>
          </w:p>
        </w:tc>
      </w:tr>
      <w:tr>
        <w:trPr>
          <w:trHeight w:val="248" w:hRule="atLeast"/>
        </w:trPr>
        <w:tc>
          <w:tcPr>
            <w:shd w:fill="auto" w:val="clear"/>
          </w:tcPr>
          <w:p w:rsidR="00000000" w:rsidDel="00000000" w:rsidP="00000000" w:rsidRDefault="00000000" w:rsidRPr="00000000" w14:paraId="00000066">
            <w:pPr>
              <w:jc w:val="center"/>
              <w:rPr>
                <w:sz w:val="24"/>
                <w:szCs w:val="24"/>
              </w:rPr>
            </w:pPr>
            <w:r w:rsidDel="00000000" w:rsidR="00000000" w:rsidRPr="00000000">
              <w:rPr>
                <w:sz w:val="24"/>
                <w:szCs w:val="24"/>
                <w:rtl w:val="0"/>
              </w:rPr>
              <w:t xml:space="preserve">Part propre commune + TVA</w:t>
            </w:r>
          </w:p>
        </w:tc>
        <w:tc>
          <w:tcPr>
            <w:shd w:fill="auto" w:val="clear"/>
          </w:tcPr>
          <w:p w:rsidR="00000000" w:rsidDel="00000000" w:rsidP="00000000" w:rsidRDefault="00000000" w:rsidRPr="00000000" w14:paraId="00000067">
            <w:pPr>
              <w:jc w:val="center"/>
              <w:rPr>
                <w:sz w:val="24"/>
                <w:szCs w:val="24"/>
              </w:rPr>
            </w:pPr>
            <w:r w:rsidDel="00000000" w:rsidR="00000000" w:rsidRPr="00000000">
              <w:rPr>
                <w:sz w:val="24"/>
                <w:szCs w:val="24"/>
                <w:rtl w:val="0"/>
              </w:rPr>
              <w:t xml:space="preserve">79 381,34€</w:t>
            </w:r>
          </w:p>
        </w:tc>
      </w:tr>
      <w:tr>
        <w:trPr>
          <w:trHeight w:val="248" w:hRule="atLeast"/>
        </w:trPr>
        <w:tc>
          <w:tcPr>
            <w:shd w:fill="auto" w:val="clear"/>
          </w:tcPr>
          <w:p w:rsidR="00000000" w:rsidDel="00000000" w:rsidP="00000000" w:rsidRDefault="00000000" w:rsidRPr="00000000" w14:paraId="00000068">
            <w:pPr>
              <w:jc w:val="center"/>
              <w:rPr>
                <w:b w:val="1"/>
                <w:sz w:val="24"/>
                <w:szCs w:val="24"/>
              </w:rPr>
            </w:pPr>
            <w:r w:rsidDel="00000000" w:rsidR="00000000" w:rsidRPr="00000000">
              <w:rPr>
                <w:b w:val="1"/>
                <w:sz w:val="24"/>
                <w:szCs w:val="24"/>
                <w:rtl w:val="0"/>
              </w:rPr>
              <w:t xml:space="preserve">Total</w:t>
            </w:r>
          </w:p>
        </w:tc>
        <w:tc>
          <w:tcPr>
            <w:shd w:fill="auto" w:val="clear"/>
          </w:tcPr>
          <w:p w:rsidR="00000000" w:rsidDel="00000000" w:rsidP="00000000" w:rsidRDefault="00000000" w:rsidRPr="00000000" w14:paraId="00000069">
            <w:pPr>
              <w:jc w:val="center"/>
              <w:rPr>
                <w:b w:val="1"/>
                <w:sz w:val="24"/>
                <w:szCs w:val="24"/>
              </w:rPr>
            </w:pPr>
            <w:r w:rsidDel="00000000" w:rsidR="00000000" w:rsidRPr="00000000">
              <w:rPr>
                <w:b w:val="1"/>
                <w:sz w:val="24"/>
                <w:szCs w:val="24"/>
                <w:rtl w:val="0"/>
              </w:rPr>
              <w:t xml:space="preserve">241 939,34€</w:t>
            </w:r>
          </w:p>
        </w:tc>
      </w:tr>
    </w:tbl>
    <w:p w:rsidR="00000000" w:rsidDel="00000000" w:rsidP="00000000" w:rsidRDefault="00000000" w:rsidRPr="00000000" w14:paraId="0000006A">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B">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C">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D">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4">
      <w:pPr>
        <w:rPr>
          <w:rFonts w:ascii="Arial" w:cs="Arial" w:eastAsia="Arial" w:hAnsi="Arial"/>
          <w:sz w:val="20"/>
          <w:szCs w:val="20"/>
        </w:rPr>
      </w:pPr>
      <w:r w:rsidDel="00000000" w:rsidR="00000000" w:rsidRPr="00000000">
        <w:rPr>
          <w:rtl w:val="0"/>
        </w:rPr>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Batang"/>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3"/>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E31857"/>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paragraph" w:styleId="Paragraphedeliste">
    <w:name w:val="List Paragraph"/>
    <w:basedOn w:val="Normal"/>
    <w:uiPriority w:val="34"/>
    <w:qFormat w:val="1"/>
    <w:rsid w:val="00E31857"/>
    <w:pPr>
      <w:ind w:left="720"/>
      <w:contextualSpacing w:val="1"/>
    </w:pPr>
  </w:style>
  <w:style w:type="table" w:styleId="Grilledutableau">
    <w:name w:val="Table Grid"/>
    <w:basedOn w:val="TableauNormal"/>
    <w:uiPriority w:val="39"/>
    <w:rsid w:val="0069129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Lienhypertexte">
    <w:name w:val="Hyperlink"/>
    <w:basedOn w:val="Policepardfaut"/>
    <w:uiPriority w:val="99"/>
    <w:unhideWhenUsed w:val="1"/>
    <w:rsid w:val="004A582E"/>
    <w:rPr>
      <w:color w:val="0000ff" w:themeColor="hyperlink"/>
      <w:u w:val="single"/>
    </w:rPr>
  </w:style>
  <w:style w:type="character" w:styleId="Mentionnonrsolue">
    <w:name w:val="Unresolved Mention"/>
    <w:basedOn w:val="Policepardfaut"/>
    <w:uiPriority w:val="99"/>
    <w:semiHidden w:val="1"/>
    <w:unhideWhenUsed w:val="1"/>
    <w:rsid w:val="004A582E"/>
    <w:rPr>
      <w:color w:val="605e5c"/>
      <w:shd w:color="auto" w:fill="e1dfdd" w:val="clear"/>
    </w:rPr>
  </w:style>
  <w:style w:type="paragraph" w:styleId="Textedebulles">
    <w:name w:val="Balloon Text"/>
    <w:basedOn w:val="Normal"/>
    <w:link w:val="TextedebullesCar"/>
    <w:uiPriority w:val="99"/>
    <w:semiHidden w:val="1"/>
    <w:unhideWhenUsed w:val="1"/>
    <w:rsid w:val="00887554"/>
    <w:pPr>
      <w:spacing w:after="0" w:line="240" w:lineRule="auto"/>
    </w:pPr>
    <w:rPr>
      <w:rFonts w:ascii="Segoe UI" w:cs="Segoe UI" w:hAnsi="Segoe UI"/>
      <w:sz w:val="18"/>
      <w:szCs w:val="18"/>
    </w:rPr>
  </w:style>
  <w:style w:type="character" w:styleId="TextedebullesCar" w:customStyle="1">
    <w:name w:val="Texte de bulles Car"/>
    <w:basedOn w:val="Policepardfaut"/>
    <w:link w:val="Textedebulles"/>
    <w:uiPriority w:val="99"/>
    <w:semiHidden w:val="1"/>
    <w:rsid w:val="00887554"/>
    <w:rPr>
      <w:rFonts w:ascii="Segoe UI" w:cs="Segoe UI" w:hAnsi="Segoe U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mairie.ucciani@wanadoo.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4gYzXgkz8+mWBuAn9yscNBsYyuQ==">AMUW2mUsW+qnXhBUdCsdny3y85qumHu6NWu6IP6QH6z6f5jPaPFFoY8+Ye0Q8o6bPZCNohFI3Gabe0XORysRC6n58x5YrkFZFMXKhDARWF47SmmS4XRQLmxrJVgKySGzEI/+ODDzJNa/MTVo4xsfCg5ABqJC1MbzDHod5fIChGerciVsRitQFo0=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2020-12-29T15:42:00Z</dcterms:created>
  <dc:creator>Jean-Luc Giocanti</dc:creator>
</cp:coreProperties>
</file>